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FCD6" w14:textId="77777777" w:rsidR="005E6555" w:rsidRPr="005E6555" w:rsidRDefault="005E6555" w:rsidP="005E6555">
      <w:pPr>
        <w:shd w:val="clear" w:color="auto" w:fill="FFFFFF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bookmarkStart w:id="0" w:name="_GoBack"/>
      <w:bookmarkEnd w:id="0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  <w:t>ՀԱՅԱՍՏԱՆԻ ՀԱՆՐԱՊԵՏՈՒԹՅԱՆ</w:t>
      </w:r>
    </w:p>
    <w:p w14:paraId="70A58D62" w14:textId="77777777" w:rsidR="005E6555" w:rsidRPr="005E6555" w:rsidRDefault="005E6555" w:rsidP="005E6555">
      <w:pPr>
        <w:shd w:val="clear" w:color="auto" w:fill="FFFFFF"/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A2DDB2B" w14:textId="77777777" w:rsidR="005E6555" w:rsidRPr="005E6555" w:rsidRDefault="005E6555" w:rsidP="005E6555">
      <w:pPr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7"/>
          <w:szCs w:val="27"/>
          <w:shd w:val="clear" w:color="auto" w:fill="FFFFFF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36"/>
          <w:szCs w:val="36"/>
          <w:shd w:val="clear" w:color="auto" w:fill="FFFFFF"/>
          <w:lang w:val="en-US"/>
          <w14:ligatures w14:val="none"/>
        </w:rPr>
        <w:t>Օ Ր Ե Ն Ք Ը</w:t>
      </w:r>
    </w:p>
    <w:p w14:paraId="6C3DD01E" w14:textId="77777777" w:rsidR="005E6555" w:rsidRPr="005E6555" w:rsidRDefault="005E6555" w:rsidP="005E6555">
      <w:pPr>
        <w:shd w:val="clear" w:color="auto" w:fill="FFFFFF"/>
        <w:spacing w:after="0"/>
        <w:ind w:firstLine="375"/>
        <w:jc w:val="right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A660463" w14:textId="77777777" w:rsidR="005E6555" w:rsidRPr="005E6555" w:rsidRDefault="005E6555" w:rsidP="005E6555">
      <w:pPr>
        <w:shd w:val="clear" w:color="auto" w:fill="FFFFFF"/>
        <w:spacing w:after="0"/>
        <w:ind w:firstLine="375"/>
        <w:jc w:val="right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Ընդունված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է 2025 </w:t>
      </w: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թվականի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հուլիսի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3-ին</w:t>
      </w:r>
    </w:p>
    <w:p w14:paraId="56C31C9C" w14:textId="77777777" w:rsidR="005E6555" w:rsidRPr="005E6555" w:rsidRDefault="005E6555" w:rsidP="005E6555">
      <w:pPr>
        <w:shd w:val="clear" w:color="auto" w:fill="FFFFFF"/>
        <w:spacing w:after="0"/>
        <w:ind w:firstLine="375"/>
        <w:jc w:val="right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2D73ED" w14:textId="77777777" w:rsidR="005E6555" w:rsidRPr="005E6555" w:rsidRDefault="005E6555" w:rsidP="005E6555">
      <w:pPr>
        <w:spacing w:after="0"/>
        <w:jc w:val="center"/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shd w:val="clear" w:color="auto" w:fill="FFFFFF"/>
          <w:lang w:val="en-US"/>
          <w14:ligatures w14:val="none"/>
        </w:rPr>
        <w:t>«ԳՆՈՒՄՆԵՐԻ ՄԱՍԻՆ» ՕՐԵՆՔՈՒՄ ԼՐԱՑՈՒՄ ԵՎ ՓՈՓՈԽՈՒԹՅՈՒՆ ԿԱՏԱՐԵԼՈՒ ՄԱՍԻՆ</w:t>
      </w:r>
    </w:p>
    <w:p w14:paraId="68C50A1C" w14:textId="77777777" w:rsidR="005E6555" w:rsidRPr="005E6555" w:rsidRDefault="005E6555" w:rsidP="005E6555">
      <w:pPr>
        <w:shd w:val="clear" w:color="auto" w:fill="FFFFFF"/>
        <w:spacing w:after="0"/>
        <w:ind w:firstLine="375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6A21CB28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Հոդված</w:t>
      </w:r>
      <w:proofErr w:type="spellEnd"/>
      <w:r w:rsidRPr="005E6555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1.</w:t>
      </w:r>
      <w:r w:rsidRPr="005E6555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«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» 2016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թվականի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դեկտեմբերի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16-ի ՀՕ-21-Ն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այսուհետ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լրացնել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բովանդակությամբ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«գ»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D7BA875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«գ.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հանդեպ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«ա»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անկախ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բաժնեմասի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փայաբաժնի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չափից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կանխորոշելու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նրա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կայացման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կիրառման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ազդելու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գործունեության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ուղղությունները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ոլորտները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կանխորոշելու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հնարավորություն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տվյալ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կազմակերպությունից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: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«ա»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դիմումի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.»:</w:t>
      </w:r>
    </w:p>
    <w:p w14:paraId="7BFA4BB2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C36D889" w14:textId="77777777" w:rsidR="005E6555" w:rsidRPr="005E6555" w:rsidRDefault="005E6555" w:rsidP="005E6555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Հոդված</w:t>
      </w:r>
      <w:proofErr w:type="spellEnd"/>
      <w:r w:rsidRPr="005E6555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2.</w:t>
      </w:r>
      <w:r w:rsidRPr="005E6555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val="en-US"/>
          <w14:ligatures w14:val="none"/>
        </w:rPr>
        <w:t> 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շարադրել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հետևյալ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խմբագրությամբ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6F1DD6C2" w14:textId="77777777" w:rsidR="005E6555" w:rsidRPr="005E6555" w:rsidRDefault="005E6555" w:rsidP="005E6555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7329"/>
      </w:tblGrid>
      <w:tr w:rsidR="005E6555" w:rsidRPr="005E6555" w14:paraId="020473F2" w14:textId="77777777" w:rsidTr="005E655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66C4CC42" w14:textId="77777777" w:rsidR="005E6555" w:rsidRPr="005E6555" w:rsidRDefault="005E6555" w:rsidP="005E6555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E655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«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Հոդված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52.</w:t>
            </w:r>
          </w:p>
        </w:tc>
        <w:tc>
          <w:tcPr>
            <w:tcW w:w="0" w:type="auto"/>
            <w:shd w:val="clear" w:color="auto" w:fill="FFFFFF"/>
            <w:hideMark/>
          </w:tcPr>
          <w:p w14:paraId="26DCDC84" w14:textId="77777777" w:rsidR="005E6555" w:rsidRPr="005E6555" w:rsidRDefault="005E6555" w:rsidP="005E6555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Հանրային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կազմակերպությունների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գնումների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կատարման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ընդհանուր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առանձնահատկությունները</w:t>
            </w:r>
            <w:proofErr w:type="spellEnd"/>
          </w:p>
        </w:tc>
      </w:tr>
    </w:tbl>
    <w:p w14:paraId="7FE0C308" w14:textId="77777777" w:rsidR="005E6555" w:rsidRPr="005E6555" w:rsidRDefault="005E6555" w:rsidP="005E6555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6CA70BFB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կողմից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տարածքում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`</w:t>
      </w:r>
    </w:p>
    <w:p w14:paraId="5F8399B0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1)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կապված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հարաբերությունները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կարգավորվում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կարգերով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56ABD85E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2)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հրավերները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բազային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միավորը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կնքված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հայտարարությունները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ինչպես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կարգերով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հրապարակվում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տեղեկագրում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1998696A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3)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բողոքարկումը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այդ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թվում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ներառելու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որոշումը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բաժնով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0710C421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4)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պայմանագրերի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իրականացվում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հսկողություն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5.1-ին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.</w:t>
      </w:r>
    </w:p>
    <w:p w14:paraId="2940D771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5)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մասնակցել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6-րդ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մասնակիցները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3795DF65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հակասել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3-րդ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նպատակներին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սկզբունքներին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Առևտրի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համաշխարհային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շեմը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գերազանցող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հիշատակված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համաձայնագրի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իսկ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ընդգրկված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՝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«ա» և «գ»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ենթակետերով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դեպքում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`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նաև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որոնց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նկատմամբ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վերջինս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սահմանած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իրականացնում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դիտարկումներ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(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մոնիտորինգ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):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լիազորությունների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իրականացման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շրջանակում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համագործակցել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կառավարման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ինքնավար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պետական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մարմինների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BA7FB43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համաձայնեցնում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լիազորված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մարմնի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հետ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65EFD73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lastRenderedPageBreak/>
        <w:t xml:space="preserve">4.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մասի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2-րդ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«ա»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անձը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կատարել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կետի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«գ»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ենթակետով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կազմակերպությունից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,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եթե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վերջինս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ներառված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Հայաստանի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Հանրապետության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հանրային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ծառայությունները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կարգավորող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հանձնաժողովի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հաստատած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proofErr w:type="gram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ցանկում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:»</w:t>
      </w:r>
      <w:proofErr w:type="gram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452E02E3" w14:textId="77777777" w:rsidR="005E6555" w:rsidRPr="005E6555" w:rsidRDefault="005E6555" w:rsidP="005E6555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7329"/>
      </w:tblGrid>
      <w:tr w:rsidR="005E6555" w:rsidRPr="005E6555" w14:paraId="1F36803F" w14:textId="77777777" w:rsidTr="005E655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11319DB4" w14:textId="77777777" w:rsidR="005E6555" w:rsidRPr="005E6555" w:rsidRDefault="005E6555" w:rsidP="005E6555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Հոդված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3.</w:t>
            </w:r>
          </w:p>
        </w:tc>
        <w:tc>
          <w:tcPr>
            <w:tcW w:w="0" w:type="auto"/>
            <w:shd w:val="clear" w:color="auto" w:fill="FFFFFF"/>
            <w:hideMark/>
          </w:tcPr>
          <w:p w14:paraId="377BB0B2" w14:textId="77777777" w:rsidR="005E6555" w:rsidRPr="005E6555" w:rsidRDefault="005E6555" w:rsidP="005E6555">
            <w:pPr>
              <w:spacing w:after="0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Եզրափակիչ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մաս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և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անցումային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դրույթներ</w:t>
            </w:r>
            <w:proofErr w:type="spellEnd"/>
          </w:p>
        </w:tc>
      </w:tr>
    </w:tbl>
    <w:p w14:paraId="08E2B3BA" w14:textId="77777777" w:rsidR="005E6555" w:rsidRPr="005E6555" w:rsidRDefault="005E6555" w:rsidP="005E6555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C159AF1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1.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պաշտոնական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հրապարակմանը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օրվանից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63E60E7A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2.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պահանջները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չեն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տարածվում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մինչև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մտնելը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սկսված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և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չավարտված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գնման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գործընթացների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վրա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0BC65323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3.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1-ին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հոդվածով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նախատեսված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կարգն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ընդունվում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է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սույն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օրենքն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ուժի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մեջ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մտնելուն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հաջորդող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եռամսյա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ժամկետում</w:t>
      </w:r>
      <w:proofErr w:type="spellEnd"/>
      <w:r w:rsidRPr="005E6555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52702002" w14:textId="77777777" w:rsidR="005E6555" w:rsidRPr="005E6555" w:rsidRDefault="005E6555" w:rsidP="005E6555">
      <w:pPr>
        <w:shd w:val="clear" w:color="auto" w:fill="FFFFFF"/>
        <w:spacing w:after="0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54"/>
      </w:tblGrid>
      <w:tr w:rsidR="005E6555" w:rsidRPr="005E6555" w14:paraId="418F8402" w14:textId="77777777" w:rsidTr="005E6555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288D2B5" w14:textId="77777777" w:rsidR="005E6555" w:rsidRPr="005E6555" w:rsidRDefault="005E6555" w:rsidP="005E6555">
            <w:pPr>
              <w:spacing w:before="100" w:beforeAutospacing="1" w:after="100" w:afterAutospacing="1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Հանրապետության</w:t>
            </w:r>
            <w:proofErr w:type="spellEnd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082566" w14:textId="77777777" w:rsidR="005E6555" w:rsidRPr="005E6555" w:rsidRDefault="005E6555" w:rsidP="005E6555">
            <w:pPr>
              <w:spacing w:after="0"/>
              <w:jc w:val="right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Վ. </w:t>
            </w:r>
            <w:proofErr w:type="spellStart"/>
            <w:r w:rsidRPr="005E6555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Խաչատուրյան</w:t>
            </w:r>
            <w:proofErr w:type="spellEnd"/>
          </w:p>
        </w:tc>
      </w:tr>
      <w:tr w:rsidR="005E6555" w:rsidRPr="005E6555" w14:paraId="1FCC68DE" w14:textId="77777777" w:rsidTr="005E65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C82548" w14:textId="77777777" w:rsidR="005E6555" w:rsidRPr="005E6555" w:rsidRDefault="005E6555" w:rsidP="005E6555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E655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  <w:p w14:paraId="4E4B0BDA" w14:textId="77777777" w:rsidR="005E6555" w:rsidRPr="005E6555" w:rsidRDefault="005E6555" w:rsidP="005E6555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E655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2025 թ.</w:t>
            </w:r>
            <w:r w:rsidRPr="005E655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  <w:proofErr w:type="spellStart"/>
            <w:r w:rsidRPr="005E6555">
              <w:rPr>
                <w:rFonts w:ascii="Arial Unicode" w:eastAsia="Times New Roman" w:hAnsi="Arial Unicode" w:cs="Arial Unicode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հուլիսի</w:t>
            </w:r>
            <w:proofErr w:type="spellEnd"/>
            <w:r w:rsidRPr="005E655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 18</w:t>
            </w:r>
          </w:p>
          <w:p w14:paraId="30129C16" w14:textId="77777777" w:rsidR="005E6555" w:rsidRPr="005E6555" w:rsidRDefault="005E6555" w:rsidP="005E6555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proofErr w:type="spellStart"/>
            <w:r w:rsidRPr="005E655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Երևան</w:t>
            </w:r>
            <w:proofErr w:type="spellEnd"/>
          </w:p>
          <w:p w14:paraId="54FAD56D" w14:textId="77777777" w:rsidR="005E6555" w:rsidRPr="005E6555" w:rsidRDefault="005E6555" w:rsidP="005E6555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E6555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ՀՕ-242-Ն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AA3D8" w14:textId="77777777" w:rsidR="005E6555" w:rsidRPr="005E6555" w:rsidRDefault="005E6555" w:rsidP="005E6555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FDFC67D" w14:textId="77777777" w:rsidR="005E6555" w:rsidRPr="005E6555" w:rsidRDefault="005E6555" w:rsidP="005E6555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5E6555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46CEB24E" w14:textId="77777777" w:rsidR="005E6555" w:rsidRPr="005E6555" w:rsidRDefault="005E6555" w:rsidP="005E6555">
      <w:pPr>
        <w:shd w:val="clear" w:color="auto" w:fill="FFFFFF"/>
        <w:spacing w:after="0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Պաշտոնական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հրապարակման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օրը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՝ 21 </w:t>
      </w: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հուլիսի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 xml:space="preserve"> 2025 </w:t>
      </w:r>
      <w:proofErr w:type="spellStart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թվական</w:t>
      </w:r>
      <w:proofErr w:type="spellEnd"/>
      <w:r w:rsidRPr="005E6555">
        <w:rPr>
          <w:rFonts w:ascii="Arial Unicode" w:eastAsia="Times New Roman" w:hAnsi="Arial Unicode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:</w:t>
      </w:r>
    </w:p>
    <w:p w14:paraId="1CA15813" w14:textId="77777777" w:rsidR="00F12C76" w:rsidRPr="005E6555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5E65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68"/>
    <w:rsid w:val="005E6555"/>
    <w:rsid w:val="006C0B77"/>
    <w:rsid w:val="008242FF"/>
    <w:rsid w:val="00870751"/>
    <w:rsid w:val="00922C48"/>
    <w:rsid w:val="00B915B7"/>
    <w:rsid w:val="00BB0368"/>
    <w:rsid w:val="00C519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64929-DD94-4717-8D67-922E0A38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55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a4">
    <w:name w:val="Strong"/>
    <w:basedOn w:val="a0"/>
    <w:uiPriority w:val="22"/>
    <w:qFormat/>
    <w:rsid w:val="005E6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2025-07-25T07:51:00Z</dcterms:created>
  <dcterms:modified xsi:type="dcterms:W3CDTF">2025-07-25T07:52:00Z</dcterms:modified>
</cp:coreProperties>
</file>